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9C75D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Evidence-based Practices in Patient Care Technologies </w:t>
      </w:r>
    </w:p>
    <w:p w:rsid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A710FA" w:rsidRDefault="009C75D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Evidence-based Practices in Patient Care Technologies </w:t>
      </w:r>
    </w:p>
    <w:p w:rsidR="002D7FA8" w:rsidRDefault="009C75DE" w:rsidP="002D7FA8">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bookmarkStart w:id="0" w:name="_GoBack"/>
      <w:r>
        <w:rPr>
          <w:rFonts w:ascii="Times New Roman" w:eastAsia="Times New Roman" w:hAnsi="Times New Roman" w:cs="Times New Roman"/>
          <w:bCs/>
          <w:color w:val="333333"/>
          <w:sz w:val="24"/>
          <w:szCs w:val="24"/>
        </w:rPr>
        <w:t xml:space="preserve">The rise of medical technology, and especially in therapeutics and diagnostics, has highly contributed to the improvement of patient care and the provision of healthcare in general. </w:t>
      </w:r>
      <w:r w:rsidR="00E5202C">
        <w:rPr>
          <w:rFonts w:ascii="Times New Roman" w:eastAsia="Times New Roman" w:hAnsi="Times New Roman" w:cs="Times New Roman"/>
          <w:bCs/>
          <w:color w:val="333333"/>
          <w:sz w:val="24"/>
          <w:szCs w:val="24"/>
        </w:rPr>
        <w:t xml:space="preserve">Apart from this, the utilization of new and emerging medical technology has led to positive health outcomes and the reduction of healthcare costs. </w:t>
      </w:r>
      <w:r w:rsidR="002A265E">
        <w:rPr>
          <w:rFonts w:ascii="Times New Roman" w:eastAsia="Times New Roman" w:hAnsi="Times New Roman" w:cs="Times New Roman"/>
          <w:bCs/>
          <w:color w:val="333333"/>
          <w:sz w:val="24"/>
          <w:szCs w:val="24"/>
        </w:rPr>
        <w:t xml:space="preserve">For example, </w:t>
      </w:r>
      <w:r w:rsidR="00A94782">
        <w:rPr>
          <w:rFonts w:ascii="Times New Roman" w:eastAsia="Times New Roman" w:hAnsi="Times New Roman" w:cs="Times New Roman"/>
          <w:bCs/>
          <w:color w:val="333333"/>
          <w:sz w:val="24"/>
          <w:szCs w:val="24"/>
        </w:rPr>
        <w:t>using</w:t>
      </w:r>
      <w:r w:rsidR="002A265E">
        <w:rPr>
          <w:rFonts w:ascii="Times New Roman" w:eastAsia="Times New Roman" w:hAnsi="Times New Roman" w:cs="Times New Roman"/>
          <w:bCs/>
          <w:color w:val="333333"/>
          <w:sz w:val="24"/>
          <w:szCs w:val="24"/>
        </w:rPr>
        <w:t xml:space="preserve"> various medical technologies, it has been possible to diagnose </w:t>
      </w:r>
      <w:r w:rsidR="00437056">
        <w:rPr>
          <w:rFonts w:ascii="Times New Roman" w:eastAsia="Times New Roman" w:hAnsi="Times New Roman" w:cs="Times New Roman"/>
          <w:bCs/>
          <w:color w:val="333333"/>
          <w:sz w:val="24"/>
          <w:szCs w:val="24"/>
        </w:rPr>
        <w:t xml:space="preserve">and treat fatal and chronic illnesses such as cancer. </w:t>
      </w:r>
    </w:p>
    <w:p w:rsidR="00A94782" w:rsidRDefault="009C75DE" w:rsidP="00D20D49">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D20D49">
        <w:rPr>
          <w:rFonts w:ascii="Times New Roman" w:eastAsia="Times New Roman" w:hAnsi="Times New Roman" w:cs="Times New Roman"/>
          <w:b/>
          <w:bCs/>
          <w:color w:val="333333"/>
          <w:sz w:val="24"/>
          <w:szCs w:val="24"/>
        </w:rPr>
        <w:t>Evidence-based Practice</w:t>
      </w:r>
    </w:p>
    <w:p w:rsidR="00F23423" w:rsidRDefault="009C75DE" w:rsidP="00F23423">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evidence-based practice that will be utilized in this case focuses on the education of patients on the risks of medical complications that are related to obstructive sleep apnea </w:t>
      </w:r>
      <w:r w:rsidR="00D20D49">
        <w:rPr>
          <w:rFonts w:ascii="Times New Roman" w:eastAsia="Times New Roman" w:hAnsi="Times New Roman" w:cs="Times New Roman"/>
          <w:bCs/>
          <w:color w:val="333333"/>
          <w:sz w:val="24"/>
          <w:szCs w:val="24"/>
        </w:rPr>
        <w:t>(Lemus et al., 2018)</w:t>
      </w:r>
      <w:r w:rsidR="001D1EF8">
        <w:rPr>
          <w:rFonts w:ascii="Times New Roman" w:eastAsia="Times New Roman" w:hAnsi="Times New Roman" w:cs="Times New Roman"/>
          <w:bCs/>
          <w:color w:val="333333"/>
          <w:sz w:val="24"/>
          <w:szCs w:val="24"/>
        </w:rPr>
        <w:t xml:space="preserve">. This evidence-based practice is </w:t>
      </w:r>
      <w:r w:rsidR="00F949C0">
        <w:rPr>
          <w:rFonts w:ascii="Times New Roman" w:eastAsia="Times New Roman" w:hAnsi="Times New Roman" w:cs="Times New Roman"/>
          <w:bCs/>
          <w:color w:val="333333"/>
          <w:sz w:val="24"/>
          <w:szCs w:val="24"/>
        </w:rPr>
        <w:t>focused specifically</w:t>
      </w:r>
      <w:r w:rsidR="001862BF">
        <w:rPr>
          <w:rFonts w:ascii="Times New Roman" w:eastAsia="Times New Roman" w:hAnsi="Times New Roman" w:cs="Times New Roman"/>
          <w:bCs/>
          <w:color w:val="333333"/>
          <w:sz w:val="24"/>
          <w:szCs w:val="24"/>
        </w:rPr>
        <w:t xml:space="preserve"> on surgical patients who are not part of monitored settings or environments. </w:t>
      </w:r>
      <w:r w:rsidR="007C4BD7">
        <w:rPr>
          <w:rFonts w:ascii="Times New Roman" w:eastAsia="Times New Roman" w:hAnsi="Times New Roman" w:cs="Times New Roman"/>
          <w:bCs/>
          <w:color w:val="333333"/>
          <w:sz w:val="24"/>
          <w:szCs w:val="24"/>
        </w:rPr>
        <w:t xml:space="preserve">Evidence has shown an increase in negative health outcomes </w:t>
      </w:r>
      <w:r w:rsidR="007E2953">
        <w:rPr>
          <w:rFonts w:ascii="Times New Roman" w:eastAsia="Times New Roman" w:hAnsi="Times New Roman" w:cs="Times New Roman"/>
          <w:bCs/>
          <w:color w:val="333333"/>
          <w:sz w:val="24"/>
          <w:szCs w:val="24"/>
        </w:rPr>
        <w:t xml:space="preserve">in obstructive sleep apnea complications (Lemus et al., 2018). </w:t>
      </w:r>
      <w:r w:rsidR="00AB7D47">
        <w:rPr>
          <w:rFonts w:ascii="Times New Roman" w:eastAsia="Times New Roman" w:hAnsi="Times New Roman" w:cs="Times New Roman"/>
          <w:bCs/>
          <w:color w:val="333333"/>
          <w:sz w:val="24"/>
          <w:szCs w:val="24"/>
        </w:rPr>
        <w:t xml:space="preserve">The negative health outcomes in surgical patients result from different factors. The main factor that causes this challenge is the limited diagnostics mechanisms in different healthcare settings. The lack of effective mechanisms has made it difficult for healthcare practitioners to detect obstructive sleep apnea (Lemus et al., 2018). </w:t>
      </w:r>
      <w:r w:rsidR="003A45A4">
        <w:rPr>
          <w:rFonts w:ascii="Times New Roman" w:eastAsia="Times New Roman" w:hAnsi="Times New Roman" w:cs="Times New Roman"/>
          <w:bCs/>
          <w:color w:val="333333"/>
          <w:sz w:val="24"/>
          <w:szCs w:val="24"/>
        </w:rPr>
        <w:t xml:space="preserve">In most situations, it is almost impossible to detect obstructive sleep apnea before surgery, and even after the process has been completed. </w:t>
      </w:r>
      <w:r w:rsidR="00BB4F98">
        <w:rPr>
          <w:rFonts w:ascii="Times New Roman" w:eastAsia="Times New Roman" w:hAnsi="Times New Roman" w:cs="Times New Roman"/>
          <w:bCs/>
          <w:color w:val="333333"/>
          <w:sz w:val="24"/>
          <w:szCs w:val="24"/>
        </w:rPr>
        <w:t>Evidence has also shown that there is a high rate of obstructive sleep apnea complications in th</w:t>
      </w:r>
      <w:r w:rsidR="007F49E6">
        <w:rPr>
          <w:rFonts w:ascii="Times New Roman" w:eastAsia="Times New Roman" w:hAnsi="Times New Roman" w:cs="Times New Roman"/>
          <w:bCs/>
          <w:color w:val="333333"/>
          <w:sz w:val="24"/>
          <w:szCs w:val="24"/>
        </w:rPr>
        <w:t xml:space="preserve">e provision of ambulatory care. </w:t>
      </w:r>
      <w:r w:rsidR="0045119E">
        <w:rPr>
          <w:rFonts w:ascii="Times New Roman" w:eastAsia="Times New Roman" w:hAnsi="Times New Roman" w:cs="Times New Roman"/>
          <w:bCs/>
          <w:color w:val="333333"/>
          <w:sz w:val="24"/>
          <w:szCs w:val="24"/>
        </w:rPr>
        <w:t xml:space="preserve">Over 75% of patients that are at a high risk of getting obstructive sleep apnea complications were not diagnosed with the condition before undergoing ambulatory surgery </w:t>
      </w:r>
      <w:r w:rsidR="00B76694">
        <w:rPr>
          <w:rFonts w:ascii="Times New Roman" w:eastAsia="Times New Roman" w:hAnsi="Times New Roman" w:cs="Times New Roman"/>
          <w:bCs/>
          <w:color w:val="333333"/>
          <w:sz w:val="24"/>
          <w:szCs w:val="24"/>
        </w:rPr>
        <w:t>(Ankichetty &amp; Chung, 2011)</w:t>
      </w:r>
      <w:r w:rsidR="00D551C4">
        <w:rPr>
          <w:rFonts w:ascii="Times New Roman" w:eastAsia="Times New Roman" w:hAnsi="Times New Roman" w:cs="Times New Roman"/>
          <w:bCs/>
          <w:color w:val="333333"/>
          <w:sz w:val="24"/>
          <w:szCs w:val="24"/>
        </w:rPr>
        <w:t>.</w:t>
      </w:r>
      <w:r>
        <w:rPr>
          <w:rFonts w:ascii="Times New Roman" w:eastAsia="Times New Roman" w:hAnsi="Times New Roman" w:cs="Times New Roman"/>
          <w:bCs/>
          <w:color w:val="333333"/>
          <w:sz w:val="24"/>
          <w:szCs w:val="24"/>
        </w:rPr>
        <w:t xml:space="preserve"> There, this </w:t>
      </w:r>
      <w:r w:rsidR="00010997">
        <w:rPr>
          <w:rFonts w:ascii="Times New Roman" w:eastAsia="Times New Roman" w:hAnsi="Times New Roman" w:cs="Times New Roman"/>
          <w:bCs/>
          <w:color w:val="333333"/>
          <w:sz w:val="24"/>
          <w:szCs w:val="24"/>
        </w:rPr>
        <w:t>serious problem</w:t>
      </w:r>
      <w:r>
        <w:rPr>
          <w:rFonts w:ascii="Times New Roman" w:eastAsia="Times New Roman" w:hAnsi="Times New Roman" w:cs="Times New Roman"/>
          <w:bCs/>
          <w:color w:val="333333"/>
          <w:sz w:val="24"/>
          <w:szCs w:val="24"/>
        </w:rPr>
        <w:t xml:space="preserve"> has to be addressed</w:t>
      </w:r>
      <w:r w:rsidR="00010997">
        <w:rPr>
          <w:rFonts w:ascii="Times New Roman" w:eastAsia="Times New Roman" w:hAnsi="Times New Roman" w:cs="Times New Roman"/>
          <w:bCs/>
          <w:color w:val="333333"/>
          <w:sz w:val="24"/>
          <w:szCs w:val="24"/>
        </w:rPr>
        <w:t xml:space="preserve"> to ensure positive health outcomes</w:t>
      </w:r>
      <w:r>
        <w:rPr>
          <w:rFonts w:ascii="Times New Roman" w:eastAsia="Times New Roman" w:hAnsi="Times New Roman" w:cs="Times New Roman"/>
          <w:bCs/>
          <w:color w:val="333333"/>
          <w:sz w:val="24"/>
          <w:szCs w:val="24"/>
        </w:rPr>
        <w:t xml:space="preserve">. </w:t>
      </w:r>
    </w:p>
    <w:p w:rsidR="006E17A4" w:rsidRPr="00010997" w:rsidRDefault="009C75DE" w:rsidP="00010997">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010997">
        <w:rPr>
          <w:rFonts w:ascii="Times New Roman" w:eastAsia="Times New Roman" w:hAnsi="Times New Roman" w:cs="Times New Roman"/>
          <w:b/>
          <w:bCs/>
          <w:color w:val="333333"/>
          <w:sz w:val="24"/>
          <w:szCs w:val="24"/>
        </w:rPr>
        <w:t>Importance</w:t>
      </w:r>
    </w:p>
    <w:p w:rsidR="008E285D" w:rsidRDefault="009C75DE" w:rsidP="00D20D49">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 xml:space="preserve"> </w:t>
      </w:r>
      <w:r w:rsidR="00E4326E">
        <w:rPr>
          <w:rFonts w:ascii="Times New Roman" w:eastAsia="Times New Roman" w:hAnsi="Times New Roman" w:cs="Times New Roman"/>
          <w:bCs/>
          <w:color w:val="333333"/>
          <w:sz w:val="24"/>
          <w:szCs w:val="24"/>
        </w:rPr>
        <w:t>T</w:t>
      </w:r>
      <w:r w:rsidR="00A476CD">
        <w:rPr>
          <w:rFonts w:ascii="Times New Roman" w:eastAsia="Times New Roman" w:hAnsi="Times New Roman" w:cs="Times New Roman"/>
          <w:bCs/>
          <w:color w:val="333333"/>
          <w:sz w:val="24"/>
          <w:szCs w:val="24"/>
        </w:rPr>
        <w:t>here is a need to implement measures to prevent the occurrence of such negative outcomes</w:t>
      </w:r>
      <w:r w:rsidR="00E4326E">
        <w:rPr>
          <w:rFonts w:ascii="Times New Roman" w:eastAsia="Times New Roman" w:hAnsi="Times New Roman" w:cs="Times New Roman"/>
          <w:bCs/>
          <w:color w:val="333333"/>
          <w:sz w:val="24"/>
          <w:szCs w:val="24"/>
        </w:rPr>
        <w:t xml:space="preserve"> related to obstructive sleep apnea complications</w:t>
      </w:r>
      <w:r w:rsidR="00A476CD">
        <w:rPr>
          <w:rFonts w:ascii="Times New Roman" w:eastAsia="Times New Roman" w:hAnsi="Times New Roman" w:cs="Times New Roman"/>
          <w:bCs/>
          <w:color w:val="333333"/>
          <w:sz w:val="24"/>
          <w:szCs w:val="24"/>
        </w:rPr>
        <w:t xml:space="preserve">. An essential strategy that can be used for this purpose is providing education to both patients and caregivers. </w:t>
      </w:r>
      <w:r w:rsidR="00E4326E">
        <w:rPr>
          <w:rFonts w:ascii="Times New Roman" w:eastAsia="Times New Roman" w:hAnsi="Times New Roman" w:cs="Times New Roman"/>
          <w:bCs/>
          <w:color w:val="333333"/>
          <w:sz w:val="24"/>
          <w:szCs w:val="24"/>
        </w:rPr>
        <w:t xml:space="preserve">For the case of patients, education will ensure that they do not suffer as a result of the negative health outcomes that result from these complications. On the other hand, education will support caregivers in making the right diagnosis, and as such, leading to positive health outcomes for the entire healthcare system. </w:t>
      </w:r>
      <w:r w:rsidR="00246835">
        <w:rPr>
          <w:rFonts w:ascii="Times New Roman" w:eastAsia="Times New Roman" w:hAnsi="Times New Roman" w:cs="Times New Roman"/>
          <w:bCs/>
          <w:color w:val="333333"/>
          <w:sz w:val="24"/>
          <w:szCs w:val="24"/>
        </w:rPr>
        <w:t>Therefore,</w:t>
      </w:r>
      <w:r w:rsidR="00FD097C">
        <w:rPr>
          <w:rFonts w:ascii="Times New Roman" w:eastAsia="Times New Roman" w:hAnsi="Times New Roman" w:cs="Times New Roman"/>
          <w:bCs/>
          <w:color w:val="333333"/>
          <w:sz w:val="24"/>
          <w:szCs w:val="24"/>
        </w:rPr>
        <w:t xml:space="preserve"> this evidence-based practice is</w:t>
      </w:r>
      <w:r w:rsidR="00246835">
        <w:rPr>
          <w:rFonts w:ascii="Times New Roman" w:eastAsia="Times New Roman" w:hAnsi="Times New Roman" w:cs="Times New Roman"/>
          <w:bCs/>
          <w:color w:val="333333"/>
          <w:sz w:val="24"/>
          <w:szCs w:val="24"/>
        </w:rPr>
        <w:t xml:space="preserve"> majorly focused on the provision of education. </w:t>
      </w:r>
      <w:r w:rsidR="00626EA3">
        <w:rPr>
          <w:rFonts w:ascii="Times New Roman" w:eastAsia="Times New Roman" w:hAnsi="Times New Roman" w:cs="Times New Roman"/>
          <w:bCs/>
          <w:color w:val="333333"/>
          <w:sz w:val="24"/>
          <w:szCs w:val="24"/>
        </w:rPr>
        <w:t xml:space="preserve">It is aimed at improving self-reliance for both caregivers and surgical patients in dealing with complications related to obstructive sleep apnea. This educational project can be beneficial in the home care environment. </w:t>
      </w:r>
    </w:p>
    <w:p w:rsidR="006459EC" w:rsidRDefault="009C75DE" w:rsidP="00D02A50">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D02A50">
        <w:rPr>
          <w:rFonts w:ascii="Times New Roman" w:eastAsia="Times New Roman" w:hAnsi="Times New Roman" w:cs="Times New Roman"/>
          <w:b/>
          <w:bCs/>
          <w:color w:val="333333"/>
          <w:sz w:val="24"/>
          <w:szCs w:val="24"/>
        </w:rPr>
        <w:t>Patient Care Technology</w:t>
      </w:r>
    </w:p>
    <w:p w:rsidR="00D02A50" w:rsidRDefault="009C75DE" w:rsidP="00D02A50">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utiliza</w:t>
      </w:r>
      <w:r>
        <w:rPr>
          <w:rFonts w:ascii="Times New Roman" w:eastAsia="Times New Roman" w:hAnsi="Times New Roman" w:cs="Times New Roman"/>
          <w:bCs/>
          <w:color w:val="333333"/>
          <w:sz w:val="24"/>
          <w:szCs w:val="24"/>
        </w:rPr>
        <w:t xml:space="preserve">tion of telemedicine technology can play a significant role in improving the implementation of evidence-based practice that is focused on the provision of education. </w:t>
      </w:r>
      <w:r w:rsidR="001E1F96">
        <w:rPr>
          <w:rFonts w:ascii="Times New Roman" w:eastAsia="Times New Roman" w:hAnsi="Times New Roman" w:cs="Times New Roman"/>
          <w:bCs/>
          <w:color w:val="333333"/>
          <w:sz w:val="24"/>
          <w:szCs w:val="24"/>
        </w:rPr>
        <w:t xml:space="preserve">Telemedicine is a practice that is aimed at providing care to patients remotely </w:t>
      </w:r>
      <w:r>
        <w:rPr>
          <w:rFonts w:ascii="Times New Roman" w:eastAsia="Times New Roman" w:hAnsi="Times New Roman" w:cs="Times New Roman"/>
          <w:bCs/>
          <w:color w:val="333333"/>
          <w:sz w:val="24"/>
          <w:szCs w:val="24"/>
        </w:rPr>
        <w:t>(Lugo et a</w:t>
      </w:r>
      <w:r>
        <w:rPr>
          <w:rFonts w:ascii="Times New Roman" w:eastAsia="Times New Roman" w:hAnsi="Times New Roman" w:cs="Times New Roman"/>
          <w:bCs/>
          <w:color w:val="333333"/>
          <w:sz w:val="24"/>
          <w:szCs w:val="24"/>
        </w:rPr>
        <w:t>l., 2017)</w:t>
      </w:r>
      <w:r w:rsidR="001E1F96">
        <w:rPr>
          <w:rFonts w:ascii="Times New Roman" w:eastAsia="Times New Roman" w:hAnsi="Times New Roman" w:cs="Times New Roman"/>
          <w:bCs/>
          <w:color w:val="333333"/>
          <w:sz w:val="24"/>
          <w:szCs w:val="24"/>
        </w:rPr>
        <w:t xml:space="preserve">. Therefore, it can be used when the patient and caregivers are not in physical proximity. </w:t>
      </w:r>
      <w:r w:rsidR="009A49FE">
        <w:rPr>
          <w:rFonts w:ascii="Times New Roman" w:eastAsia="Times New Roman" w:hAnsi="Times New Roman" w:cs="Times New Roman"/>
          <w:bCs/>
          <w:color w:val="333333"/>
          <w:sz w:val="24"/>
          <w:szCs w:val="24"/>
        </w:rPr>
        <w:t xml:space="preserve">Therefore, in this case, telemedicine will be utilized in the monitoring of surgical patients in unmonitored environments (Lugo et al., 2017). </w:t>
      </w:r>
      <w:r w:rsidR="00D01B47">
        <w:rPr>
          <w:rFonts w:ascii="Times New Roman" w:eastAsia="Times New Roman" w:hAnsi="Times New Roman" w:cs="Times New Roman"/>
          <w:bCs/>
          <w:color w:val="333333"/>
          <w:sz w:val="24"/>
          <w:szCs w:val="24"/>
        </w:rPr>
        <w:t xml:space="preserve">Apart from this, the utilization of telemedicine will improve the delivery of care </w:t>
      </w:r>
      <w:r w:rsidR="002D037A">
        <w:rPr>
          <w:rFonts w:ascii="Times New Roman" w:eastAsia="Times New Roman" w:hAnsi="Times New Roman" w:cs="Times New Roman"/>
          <w:bCs/>
          <w:color w:val="333333"/>
          <w:sz w:val="24"/>
          <w:szCs w:val="24"/>
        </w:rPr>
        <w:t>to patients</w:t>
      </w:r>
      <w:r w:rsidR="00D01B47">
        <w:rPr>
          <w:rFonts w:ascii="Times New Roman" w:eastAsia="Times New Roman" w:hAnsi="Times New Roman" w:cs="Times New Roman"/>
          <w:bCs/>
          <w:color w:val="333333"/>
          <w:sz w:val="24"/>
          <w:szCs w:val="24"/>
        </w:rPr>
        <w:t>.</w:t>
      </w:r>
      <w:r w:rsidR="002D037A">
        <w:rPr>
          <w:rFonts w:ascii="Times New Roman" w:eastAsia="Times New Roman" w:hAnsi="Times New Roman" w:cs="Times New Roman"/>
          <w:bCs/>
          <w:color w:val="333333"/>
          <w:sz w:val="24"/>
          <w:szCs w:val="24"/>
        </w:rPr>
        <w:t xml:space="preserve"> </w:t>
      </w:r>
      <w:r w:rsidR="00F752A5">
        <w:rPr>
          <w:rFonts w:ascii="Times New Roman" w:eastAsia="Times New Roman" w:hAnsi="Times New Roman" w:cs="Times New Roman"/>
          <w:bCs/>
          <w:color w:val="333333"/>
          <w:sz w:val="24"/>
          <w:szCs w:val="24"/>
        </w:rPr>
        <w:t xml:space="preserve">One main reason for which this technology was chosen is that it is effective </w:t>
      </w:r>
      <w:r w:rsidR="00775EEC">
        <w:rPr>
          <w:rFonts w:ascii="Times New Roman" w:eastAsia="Times New Roman" w:hAnsi="Times New Roman" w:cs="Times New Roman"/>
          <w:bCs/>
          <w:color w:val="333333"/>
          <w:sz w:val="24"/>
          <w:szCs w:val="24"/>
        </w:rPr>
        <w:t>after the completion of surgery</w:t>
      </w:r>
      <w:r w:rsidR="00F752A5">
        <w:rPr>
          <w:rFonts w:ascii="Times New Roman" w:eastAsia="Times New Roman" w:hAnsi="Times New Roman" w:cs="Times New Roman"/>
          <w:bCs/>
          <w:color w:val="333333"/>
          <w:sz w:val="24"/>
          <w:szCs w:val="24"/>
        </w:rPr>
        <w:t xml:space="preserve"> (Lugo et al., 2017). </w:t>
      </w:r>
      <w:r w:rsidR="00D01B47">
        <w:rPr>
          <w:rFonts w:ascii="Times New Roman" w:eastAsia="Times New Roman" w:hAnsi="Times New Roman" w:cs="Times New Roman"/>
          <w:bCs/>
          <w:color w:val="333333"/>
          <w:sz w:val="24"/>
          <w:szCs w:val="24"/>
        </w:rPr>
        <w:t xml:space="preserve"> </w:t>
      </w:r>
      <w:r w:rsidR="00356CA9">
        <w:rPr>
          <w:rFonts w:ascii="Times New Roman" w:eastAsia="Times New Roman" w:hAnsi="Times New Roman" w:cs="Times New Roman"/>
          <w:bCs/>
          <w:color w:val="333333"/>
          <w:sz w:val="24"/>
          <w:szCs w:val="24"/>
        </w:rPr>
        <w:t xml:space="preserve">It is also effective when a surgical patient is placed under home care. </w:t>
      </w:r>
    </w:p>
    <w:p w:rsidR="00913F6B" w:rsidRDefault="009C75DE" w:rsidP="00D02A50">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reasons can explain why the utilization of telemedicine in dealing with the complications related to obstructive sleep apnea is effective. </w:t>
      </w:r>
      <w:r w:rsidR="00AB7DE3">
        <w:rPr>
          <w:rFonts w:ascii="Times New Roman" w:eastAsia="Times New Roman" w:hAnsi="Times New Roman" w:cs="Times New Roman"/>
          <w:bCs/>
          <w:color w:val="333333"/>
          <w:sz w:val="24"/>
          <w:szCs w:val="24"/>
        </w:rPr>
        <w:t xml:space="preserve">Over the past years, there has been a high rate of broadband penetration (Lugo et al., 2017). Apart from this, </w:t>
      </w:r>
      <w:r w:rsidR="00B567F6">
        <w:rPr>
          <w:rFonts w:ascii="Times New Roman" w:eastAsia="Times New Roman" w:hAnsi="Times New Roman" w:cs="Times New Roman"/>
          <w:bCs/>
          <w:color w:val="333333"/>
          <w:sz w:val="24"/>
          <w:szCs w:val="24"/>
        </w:rPr>
        <w:t xml:space="preserve">the speed of the internet </w:t>
      </w:r>
      <w:r w:rsidR="00B567F6">
        <w:rPr>
          <w:rFonts w:ascii="Times New Roman" w:eastAsia="Times New Roman" w:hAnsi="Times New Roman" w:cs="Times New Roman"/>
          <w:bCs/>
          <w:color w:val="333333"/>
          <w:sz w:val="24"/>
          <w:szCs w:val="24"/>
        </w:rPr>
        <w:lastRenderedPageBreak/>
        <w:t xml:space="preserve">has also improved across the United States. </w:t>
      </w:r>
      <w:r w:rsidR="00E95B7A">
        <w:rPr>
          <w:rFonts w:ascii="Times New Roman" w:eastAsia="Times New Roman" w:hAnsi="Times New Roman" w:cs="Times New Roman"/>
          <w:bCs/>
          <w:color w:val="333333"/>
          <w:sz w:val="24"/>
          <w:szCs w:val="24"/>
        </w:rPr>
        <w:t xml:space="preserve">The main benefit of this is that it reduces the cost of monitoring patients. In the current scenario, it also reduces the cost of educating caregivers and surgical patients. </w:t>
      </w:r>
      <w:r w:rsidR="00B95915">
        <w:rPr>
          <w:rFonts w:ascii="Times New Roman" w:eastAsia="Times New Roman" w:hAnsi="Times New Roman" w:cs="Times New Roman"/>
          <w:bCs/>
          <w:color w:val="333333"/>
          <w:sz w:val="24"/>
          <w:szCs w:val="24"/>
        </w:rPr>
        <w:t xml:space="preserve">It makes it easy for caregivers to monitor their patients remotely in unmonitored environments. </w:t>
      </w:r>
      <w:r w:rsidR="00D53857">
        <w:rPr>
          <w:rFonts w:ascii="Times New Roman" w:eastAsia="Times New Roman" w:hAnsi="Times New Roman" w:cs="Times New Roman"/>
          <w:bCs/>
          <w:color w:val="333333"/>
          <w:sz w:val="24"/>
          <w:szCs w:val="24"/>
        </w:rPr>
        <w:t>Apart from this, the integration of telemedicine and other technologies and applications in the healthcare system can also lead to positive outcomes for patients and caregivers</w:t>
      </w:r>
      <w:r w:rsidR="00183CC6">
        <w:rPr>
          <w:rFonts w:ascii="Times New Roman" w:eastAsia="Times New Roman" w:hAnsi="Times New Roman" w:cs="Times New Roman"/>
          <w:bCs/>
          <w:color w:val="333333"/>
          <w:sz w:val="24"/>
          <w:szCs w:val="24"/>
        </w:rPr>
        <w:t xml:space="preserve"> (Lugo et al., 2017)</w:t>
      </w:r>
      <w:r w:rsidR="00D53857">
        <w:rPr>
          <w:rFonts w:ascii="Times New Roman" w:eastAsia="Times New Roman" w:hAnsi="Times New Roman" w:cs="Times New Roman"/>
          <w:bCs/>
          <w:color w:val="333333"/>
          <w:sz w:val="24"/>
          <w:szCs w:val="24"/>
        </w:rPr>
        <w:t xml:space="preserve">. </w:t>
      </w:r>
      <w:r w:rsidR="00672718">
        <w:rPr>
          <w:rFonts w:ascii="Times New Roman" w:eastAsia="Times New Roman" w:hAnsi="Times New Roman" w:cs="Times New Roman"/>
          <w:bCs/>
          <w:color w:val="333333"/>
          <w:sz w:val="24"/>
          <w:szCs w:val="24"/>
        </w:rPr>
        <w:t xml:space="preserve">It can lead to the improvement of the quality of care that </w:t>
      </w:r>
      <w:r w:rsidR="00505B47">
        <w:rPr>
          <w:rFonts w:ascii="Times New Roman" w:eastAsia="Times New Roman" w:hAnsi="Times New Roman" w:cs="Times New Roman"/>
          <w:bCs/>
          <w:color w:val="333333"/>
          <w:sz w:val="24"/>
          <w:szCs w:val="24"/>
        </w:rPr>
        <w:t>is</w:t>
      </w:r>
      <w:r w:rsidR="00672718">
        <w:rPr>
          <w:rFonts w:ascii="Times New Roman" w:eastAsia="Times New Roman" w:hAnsi="Times New Roman" w:cs="Times New Roman"/>
          <w:bCs/>
          <w:color w:val="333333"/>
          <w:sz w:val="24"/>
          <w:szCs w:val="24"/>
        </w:rPr>
        <w:t xml:space="preserve"> provided to outpatients or patients in unmonitored settings. </w:t>
      </w:r>
    </w:p>
    <w:p w:rsidR="00505B47" w:rsidRDefault="009C75DE" w:rsidP="00EB423B">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EB423B">
        <w:rPr>
          <w:rFonts w:ascii="Times New Roman" w:eastAsia="Times New Roman" w:hAnsi="Times New Roman" w:cs="Times New Roman"/>
          <w:b/>
          <w:bCs/>
          <w:color w:val="333333"/>
          <w:sz w:val="24"/>
          <w:szCs w:val="24"/>
        </w:rPr>
        <w:t>Ethical Issues</w:t>
      </w:r>
    </w:p>
    <w:p w:rsidR="00EB423B" w:rsidRDefault="009C75DE" w:rsidP="00EB423B">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ethical issues arise in the utilization of telemedicine in this evidence-based practice. </w:t>
      </w:r>
      <w:r w:rsidR="000E2686">
        <w:rPr>
          <w:rFonts w:ascii="Times New Roman" w:eastAsia="Times New Roman" w:hAnsi="Times New Roman" w:cs="Times New Roman"/>
          <w:bCs/>
          <w:color w:val="333333"/>
          <w:sz w:val="24"/>
          <w:szCs w:val="24"/>
        </w:rPr>
        <w:t xml:space="preserve">The security of telemedicine technology is an issue to be considered. Caregivers must be competent enough in the utilization of this technology </w:t>
      </w:r>
      <w:r>
        <w:rPr>
          <w:rFonts w:ascii="Times New Roman" w:eastAsia="Times New Roman" w:hAnsi="Times New Roman" w:cs="Times New Roman"/>
          <w:bCs/>
          <w:color w:val="333333"/>
          <w:sz w:val="24"/>
          <w:szCs w:val="24"/>
        </w:rPr>
        <w:t>(Langarizadeh</w:t>
      </w:r>
      <w:r>
        <w:rPr>
          <w:rFonts w:ascii="Times New Roman" w:eastAsia="Times New Roman" w:hAnsi="Times New Roman" w:cs="Times New Roman"/>
          <w:bCs/>
          <w:color w:val="333333"/>
          <w:sz w:val="24"/>
          <w:szCs w:val="24"/>
        </w:rPr>
        <w:t xml:space="preserve"> et al., 2017)</w:t>
      </w:r>
      <w:r w:rsidR="000E2686">
        <w:rPr>
          <w:rFonts w:ascii="Times New Roman" w:eastAsia="Times New Roman" w:hAnsi="Times New Roman" w:cs="Times New Roman"/>
          <w:bCs/>
          <w:color w:val="333333"/>
          <w:sz w:val="24"/>
          <w:szCs w:val="24"/>
        </w:rPr>
        <w:t xml:space="preserve">. Failure to do this can lead to worse negative outcomes for patients. </w:t>
      </w:r>
      <w:r w:rsidR="004B66B9">
        <w:rPr>
          <w:rFonts w:ascii="Times New Roman" w:eastAsia="Times New Roman" w:hAnsi="Times New Roman" w:cs="Times New Roman"/>
          <w:bCs/>
          <w:color w:val="333333"/>
          <w:sz w:val="24"/>
          <w:szCs w:val="24"/>
        </w:rPr>
        <w:t>T</w:t>
      </w:r>
      <w:r w:rsidR="00334C06">
        <w:rPr>
          <w:rFonts w:ascii="Times New Roman" w:eastAsia="Times New Roman" w:hAnsi="Times New Roman" w:cs="Times New Roman"/>
          <w:bCs/>
          <w:color w:val="333333"/>
          <w:sz w:val="24"/>
          <w:szCs w:val="24"/>
        </w:rPr>
        <w:t xml:space="preserve">he information provided by this technology must also be assessed to determine its quality. </w:t>
      </w:r>
      <w:r w:rsidR="00641D94">
        <w:rPr>
          <w:rFonts w:ascii="Times New Roman" w:eastAsia="Times New Roman" w:hAnsi="Times New Roman" w:cs="Times New Roman"/>
          <w:bCs/>
          <w:color w:val="333333"/>
          <w:sz w:val="24"/>
          <w:szCs w:val="24"/>
        </w:rPr>
        <w:t xml:space="preserve">Apart from this, caregivers or healthcare organizations must provide care using this technology without any form of discrimination (Langarizadeh et al., 2017). For example, poor internet accessibility in rural areas should not be a reason for denying patients proper care. </w:t>
      </w:r>
      <w:r w:rsidR="00626629">
        <w:rPr>
          <w:rFonts w:ascii="Times New Roman" w:eastAsia="Times New Roman" w:hAnsi="Times New Roman" w:cs="Times New Roman"/>
          <w:bCs/>
          <w:color w:val="333333"/>
          <w:sz w:val="24"/>
          <w:szCs w:val="24"/>
        </w:rPr>
        <w:t xml:space="preserve">The knowledge and skills of the patients in the utilization of this technology must also be considered (Langarizadeh et al., 2017). </w:t>
      </w:r>
      <w:r w:rsidR="001E14BC">
        <w:rPr>
          <w:rFonts w:ascii="Times New Roman" w:eastAsia="Times New Roman" w:hAnsi="Times New Roman" w:cs="Times New Roman"/>
          <w:bCs/>
          <w:color w:val="333333"/>
          <w:sz w:val="24"/>
          <w:szCs w:val="24"/>
        </w:rPr>
        <w:t xml:space="preserve">Training and education should be provided and measures implemented to support individuals with functional disabilities. </w:t>
      </w:r>
    </w:p>
    <w:p w:rsidR="00237987" w:rsidRDefault="009C75DE" w:rsidP="00633BEA">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633BEA">
        <w:rPr>
          <w:rFonts w:ascii="Times New Roman" w:eastAsia="Times New Roman" w:hAnsi="Times New Roman" w:cs="Times New Roman"/>
          <w:b/>
          <w:bCs/>
          <w:color w:val="333333"/>
          <w:sz w:val="24"/>
          <w:szCs w:val="24"/>
        </w:rPr>
        <w:t>Conclusion</w:t>
      </w:r>
    </w:p>
    <w:p w:rsidR="00633BEA" w:rsidRDefault="009C75DE"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utilization of technology is essential in the healthcare system as it leads to positive health outcomes for both patients and caregivers. </w:t>
      </w:r>
      <w:r w:rsidR="00A331EE">
        <w:rPr>
          <w:rFonts w:ascii="Times New Roman" w:eastAsia="Times New Roman" w:hAnsi="Times New Roman" w:cs="Times New Roman"/>
          <w:bCs/>
          <w:color w:val="333333"/>
          <w:sz w:val="24"/>
          <w:szCs w:val="24"/>
        </w:rPr>
        <w:t xml:space="preserve">Telemedicine would not only play an effective role in providing education to patients and caregivers about the complications of obstructive </w:t>
      </w:r>
      <w:r w:rsidR="00A331EE">
        <w:rPr>
          <w:rFonts w:ascii="Times New Roman" w:eastAsia="Times New Roman" w:hAnsi="Times New Roman" w:cs="Times New Roman"/>
          <w:bCs/>
          <w:color w:val="333333"/>
          <w:sz w:val="24"/>
          <w:szCs w:val="24"/>
        </w:rPr>
        <w:lastRenderedPageBreak/>
        <w:t xml:space="preserve">sleep apnea but will also </w:t>
      </w:r>
      <w:r w:rsidR="00FF5E95">
        <w:rPr>
          <w:rFonts w:ascii="Times New Roman" w:eastAsia="Times New Roman" w:hAnsi="Times New Roman" w:cs="Times New Roman"/>
          <w:bCs/>
          <w:color w:val="333333"/>
          <w:sz w:val="24"/>
          <w:szCs w:val="24"/>
        </w:rPr>
        <w:t xml:space="preserve">improve outcomes for patients in unmonitored settings. </w:t>
      </w:r>
      <w:r w:rsidR="00673A21">
        <w:rPr>
          <w:rFonts w:ascii="Times New Roman" w:eastAsia="Times New Roman" w:hAnsi="Times New Roman" w:cs="Times New Roman"/>
          <w:bCs/>
          <w:color w:val="333333"/>
          <w:sz w:val="24"/>
          <w:szCs w:val="24"/>
        </w:rPr>
        <w:t xml:space="preserve">However, just like other technologies, the use of telemedicine has ethical challenges that must be considered. </w:t>
      </w:r>
      <w:r w:rsidR="008C7AB0">
        <w:rPr>
          <w:rFonts w:ascii="Times New Roman" w:eastAsia="Times New Roman" w:hAnsi="Times New Roman" w:cs="Times New Roman"/>
          <w:bCs/>
          <w:color w:val="333333"/>
          <w:sz w:val="24"/>
          <w:szCs w:val="24"/>
        </w:rPr>
        <w:t xml:space="preserve">Most importantly, there is a need to provide training on the utilization of this technology. </w:t>
      </w:r>
    </w:p>
    <w:bookmarkEnd w:id="0"/>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rsidR="008C7AB0" w:rsidRDefault="009C75DE" w:rsidP="008C7AB0">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8C7AB0">
        <w:rPr>
          <w:rFonts w:ascii="Times New Roman" w:eastAsia="Times New Roman" w:hAnsi="Times New Roman" w:cs="Times New Roman"/>
          <w:b/>
          <w:bCs/>
          <w:color w:val="333333"/>
          <w:sz w:val="24"/>
          <w:szCs w:val="24"/>
        </w:rPr>
        <w:lastRenderedPageBreak/>
        <w:t>References</w:t>
      </w:r>
    </w:p>
    <w:p w:rsidR="00DE0A07" w:rsidRDefault="009C75DE" w:rsidP="00DE0A07">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Ankichetty, S. &amp; Chung, F. (2011). </w:t>
      </w:r>
      <w:r w:rsidR="0042401E" w:rsidRPr="0042401E">
        <w:rPr>
          <w:rFonts w:ascii="Times New Roman" w:eastAsia="Times New Roman" w:hAnsi="Times New Roman" w:cs="Times New Roman"/>
          <w:bCs/>
          <w:color w:val="333333"/>
          <w:sz w:val="24"/>
          <w:szCs w:val="24"/>
        </w:rPr>
        <w:t xml:space="preserve">Considerations for patients with obstructive sleep apnea </w:t>
      </w:r>
    </w:p>
    <w:p w:rsidR="0042401E" w:rsidRPr="00DE0A07" w:rsidRDefault="009C75DE" w:rsidP="00DE0A07">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42401E">
        <w:rPr>
          <w:rFonts w:ascii="Times New Roman" w:eastAsia="Times New Roman" w:hAnsi="Times New Roman" w:cs="Times New Roman"/>
          <w:bCs/>
          <w:color w:val="333333"/>
          <w:sz w:val="24"/>
          <w:szCs w:val="24"/>
        </w:rPr>
        <w:t>undergoing ambulatory surgery</w:t>
      </w:r>
      <w:r>
        <w:rPr>
          <w:rFonts w:ascii="Times New Roman" w:eastAsia="Times New Roman" w:hAnsi="Times New Roman" w:cs="Times New Roman"/>
          <w:bCs/>
          <w:color w:val="333333"/>
          <w:sz w:val="24"/>
          <w:szCs w:val="24"/>
        </w:rPr>
        <w:t xml:space="preserve">. </w:t>
      </w:r>
      <w:r w:rsidRPr="0042401E">
        <w:rPr>
          <w:rFonts w:ascii="Times New Roman" w:eastAsia="Times New Roman" w:hAnsi="Times New Roman" w:cs="Times New Roman"/>
          <w:bCs/>
          <w:i/>
          <w:color w:val="333333"/>
          <w:sz w:val="24"/>
          <w:szCs w:val="24"/>
        </w:rPr>
        <w:t>Current Opinion in Anesthesiology 24</w:t>
      </w:r>
      <w:r>
        <w:rPr>
          <w:rFonts w:ascii="Times New Roman" w:eastAsia="Times New Roman" w:hAnsi="Times New Roman" w:cs="Times New Roman"/>
          <w:bCs/>
          <w:color w:val="333333"/>
          <w:sz w:val="24"/>
          <w:szCs w:val="24"/>
        </w:rPr>
        <w:t xml:space="preserve">(6); 605-611. </w:t>
      </w:r>
    </w:p>
    <w:p w:rsidR="008C7AB0" w:rsidRDefault="009C75DE" w:rsidP="008C7AB0">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Langarizadeh, M., Moghbeli, F., &amp; Aliabadi, A. (2017). </w:t>
      </w:r>
      <w:r w:rsidR="00CA51E6" w:rsidRPr="00CA51E6">
        <w:rPr>
          <w:rFonts w:ascii="Times New Roman" w:eastAsia="Times New Roman" w:hAnsi="Times New Roman" w:cs="Times New Roman"/>
          <w:bCs/>
          <w:color w:val="333333"/>
          <w:sz w:val="24"/>
          <w:szCs w:val="24"/>
        </w:rPr>
        <w:t xml:space="preserve">Application of ethics for providing </w:t>
      </w:r>
    </w:p>
    <w:p w:rsidR="00F442D6" w:rsidRDefault="009C75DE" w:rsidP="00F442D6">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CA51E6">
        <w:rPr>
          <w:rFonts w:ascii="Times New Roman" w:eastAsia="Times New Roman" w:hAnsi="Times New Roman" w:cs="Times New Roman"/>
          <w:bCs/>
          <w:color w:val="333333"/>
          <w:sz w:val="24"/>
          <w:szCs w:val="24"/>
        </w:rPr>
        <w:t>telemedicine services and information technology</w:t>
      </w:r>
      <w:r>
        <w:rPr>
          <w:rFonts w:ascii="Times New Roman" w:eastAsia="Times New Roman" w:hAnsi="Times New Roman" w:cs="Times New Roman"/>
          <w:bCs/>
          <w:color w:val="333333"/>
          <w:sz w:val="24"/>
          <w:szCs w:val="24"/>
        </w:rPr>
        <w:t xml:space="preserve">. </w:t>
      </w:r>
      <w:r w:rsidRPr="00F442D6">
        <w:rPr>
          <w:rFonts w:ascii="Times New Roman" w:eastAsia="Times New Roman" w:hAnsi="Times New Roman" w:cs="Times New Roman"/>
          <w:bCs/>
          <w:i/>
          <w:color w:val="333333"/>
          <w:sz w:val="24"/>
          <w:szCs w:val="24"/>
        </w:rPr>
        <w:t>Medical Archives 71</w:t>
      </w:r>
      <w:r>
        <w:rPr>
          <w:rFonts w:ascii="Times New Roman" w:eastAsia="Times New Roman" w:hAnsi="Times New Roman" w:cs="Times New Roman"/>
          <w:bCs/>
          <w:color w:val="333333"/>
          <w:sz w:val="24"/>
          <w:szCs w:val="24"/>
        </w:rPr>
        <w:t xml:space="preserve">(5); 351-355. </w:t>
      </w:r>
    </w:p>
    <w:p w:rsidR="00316B7A" w:rsidRDefault="009C75DE" w:rsidP="00F442D6">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Lemus, L. P., McMullin, B., </w:t>
      </w:r>
      <w:r>
        <w:rPr>
          <w:rFonts w:ascii="Times New Roman" w:eastAsia="Times New Roman" w:hAnsi="Times New Roman" w:cs="Times New Roman"/>
          <w:bCs/>
          <w:color w:val="333333"/>
          <w:sz w:val="24"/>
          <w:szCs w:val="24"/>
        </w:rPr>
        <w:t xml:space="preserve">&amp; Balinowski, H. (2019). </w:t>
      </w:r>
      <w:r w:rsidRPr="00316B7A">
        <w:rPr>
          <w:rFonts w:ascii="Times New Roman" w:eastAsia="Times New Roman" w:hAnsi="Times New Roman" w:cs="Times New Roman"/>
          <w:bCs/>
          <w:color w:val="333333"/>
          <w:sz w:val="24"/>
          <w:szCs w:val="24"/>
        </w:rPr>
        <w:t xml:space="preserve">Don't </w:t>
      </w:r>
      <w:r>
        <w:rPr>
          <w:rFonts w:ascii="Times New Roman" w:eastAsia="Times New Roman" w:hAnsi="Times New Roman" w:cs="Times New Roman"/>
          <w:bCs/>
          <w:color w:val="333333"/>
          <w:sz w:val="24"/>
          <w:szCs w:val="24"/>
        </w:rPr>
        <w:t>ignore my snore: R</w:t>
      </w:r>
      <w:r w:rsidRPr="00316B7A">
        <w:rPr>
          <w:rFonts w:ascii="Times New Roman" w:eastAsia="Times New Roman" w:hAnsi="Times New Roman" w:cs="Times New Roman"/>
          <w:bCs/>
          <w:color w:val="333333"/>
          <w:sz w:val="24"/>
          <w:szCs w:val="24"/>
        </w:rPr>
        <w:t xml:space="preserve">educing </w:t>
      </w:r>
    </w:p>
    <w:p w:rsidR="0056710B" w:rsidRPr="008C7AB0" w:rsidRDefault="009C75DE" w:rsidP="0056710B">
      <w:pPr>
        <w:shd w:val="clear" w:color="auto" w:fill="FFFFFF"/>
        <w:spacing w:after="0" w:line="480" w:lineRule="auto"/>
        <w:ind w:left="720"/>
        <w:outlineLvl w:val="3"/>
        <w:rPr>
          <w:rFonts w:ascii="Times New Roman" w:eastAsia="Times New Roman" w:hAnsi="Times New Roman" w:cs="Times New Roman"/>
          <w:bCs/>
          <w:color w:val="333333"/>
          <w:sz w:val="24"/>
          <w:szCs w:val="24"/>
        </w:rPr>
      </w:pPr>
      <w:r w:rsidRPr="00316B7A">
        <w:rPr>
          <w:rFonts w:ascii="Times New Roman" w:eastAsia="Times New Roman" w:hAnsi="Times New Roman" w:cs="Times New Roman"/>
          <w:bCs/>
          <w:color w:val="333333"/>
          <w:sz w:val="24"/>
          <w:szCs w:val="24"/>
        </w:rPr>
        <w:t>perioperative complications of obstructive sleep apnea</w:t>
      </w:r>
      <w:r>
        <w:rPr>
          <w:rFonts w:ascii="Times New Roman" w:eastAsia="Times New Roman" w:hAnsi="Times New Roman" w:cs="Times New Roman"/>
          <w:bCs/>
          <w:color w:val="333333"/>
          <w:sz w:val="24"/>
          <w:szCs w:val="24"/>
        </w:rPr>
        <w:t xml:space="preserve">. </w:t>
      </w:r>
      <w:r w:rsidRPr="0056710B">
        <w:rPr>
          <w:rFonts w:ascii="Times New Roman" w:eastAsia="Times New Roman" w:hAnsi="Times New Roman" w:cs="Times New Roman"/>
          <w:bCs/>
          <w:i/>
          <w:color w:val="333333"/>
          <w:sz w:val="24"/>
          <w:szCs w:val="24"/>
        </w:rPr>
        <w:t>Journal of PeriAnesthesia Nursing 33</w:t>
      </w:r>
      <w:r>
        <w:rPr>
          <w:rFonts w:ascii="Times New Roman" w:eastAsia="Times New Roman" w:hAnsi="Times New Roman" w:cs="Times New Roman"/>
          <w:bCs/>
          <w:color w:val="333333"/>
          <w:sz w:val="24"/>
          <w:szCs w:val="24"/>
        </w:rPr>
        <w:t>(3); 338-345.</w:t>
      </w:r>
    </w:p>
    <w:p w:rsidR="00F442D6" w:rsidRDefault="009C75DE" w:rsidP="008C7AB0">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Lugo, V., Villanueva, J. A., Garmendia, O., &amp; Montserrat, J. M. (2017). </w:t>
      </w:r>
      <w:r w:rsidRPr="00D2097C">
        <w:rPr>
          <w:rFonts w:ascii="Times New Roman" w:eastAsia="Times New Roman" w:hAnsi="Times New Roman" w:cs="Times New Roman"/>
          <w:bCs/>
          <w:color w:val="333333"/>
          <w:sz w:val="24"/>
          <w:szCs w:val="24"/>
        </w:rPr>
        <w:t xml:space="preserve">The role of telemedicine </w:t>
      </w:r>
    </w:p>
    <w:p w:rsidR="003E446B" w:rsidRPr="008C7AB0" w:rsidRDefault="009C75DE" w:rsidP="003E446B">
      <w:pPr>
        <w:shd w:val="clear" w:color="auto" w:fill="FFFFFF"/>
        <w:spacing w:after="0" w:line="480" w:lineRule="auto"/>
        <w:ind w:left="720"/>
        <w:outlineLvl w:val="3"/>
        <w:rPr>
          <w:rFonts w:ascii="Times New Roman" w:eastAsia="Times New Roman" w:hAnsi="Times New Roman" w:cs="Times New Roman"/>
          <w:bCs/>
          <w:color w:val="333333"/>
          <w:sz w:val="24"/>
          <w:szCs w:val="24"/>
        </w:rPr>
      </w:pPr>
      <w:r w:rsidRPr="00D2097C">
        <w:rPr>
          <w:rFonts w:ascii="Times New Roman" w:eastAsia="Times New Roman" w:hAnsi="Times New Roman" w:cs="Times New Roman"/>
          <w:bCs/>
          <w:color w:val="333333"/>
          <w:sz w:val="24"/>
          <w:szCs w:val="24"/>
        </w:rPr>
        <w:t>in obstructive sleep apnea management</w:t>
      </w:r>
      <w:r>
        <w:rPr>
          <w:rFonts w:ascii="Times New Roman" w:eastAsia="Times New Roman" w:hAnsi="Times New Roman" w:cs="Times New Roman"/>
          <w:bCs/>
          <w:color w:val="333333"/>
          <w:sz w:val="24"/>
          <w:szCs w:val="24"/>
        </w:rPr>
        <w:t xml:space="preserve">. </w:t>
      </w:r>
      <w:r w:rsidRPr="003E446B">
        <w:rPr>
          <w:rFonts w:ascii="Times New Roman" w:eastAsia="Times New Roman" w:hAnsi="Times New Roman" w:cs="Times New Roman"/>
          <w:bCs/>
          <w:i/>
          <w:color w:val="333333"/>
          <w:sz w:val="24"/>
          <w:szCs w:val="24"/>
        </w:rPr>
        <w:t>Expert Review of Respiratory Medicine 11</w:t>
      </w:r>
      <w:r>
        <w:rPr>
          <w:rFonts w:ascii="Times New Roman" w:eastAsia="Times New Roman" w:hAnsi="Times New Roman" w:cs="Times New Roman"/>
          <w:bCs/>
          <w:color w:val="333333"/>
          <w:sz w:val="24"/>
          <w:szCs w:val="24"/>
        </w:rPr>
        <w:t>(9); 699-709.</w:t>
      </w:r>
    </w:p>
    <w:p w:rsidR="004F2380" w:rsidRPr="007E4F3A" w:rsidRDefault="004F238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sectPr w:rsidR="004F2380" w:rsidRPr="007E4F3A"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5DE" w:rsidRDefault="009C75DE">
      <w:pPr>
        <w:spacing w:after="0" w:line="240" w:lineRule="auto"/>
      </w:pPr>
      <w:r>
        <w:separator/>
      </w:r>
    </w:p>
  </w:endnote>
  <w:endnote w:type="continuationSeparator" w:id="0">
    <w:p w:rsidR="009C75DE" w:rsidRDefault="009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5DE" w:rsidRDefault="009C75DE">
      <w:pPr>
        <w:spacing w:after="0" w:line="240" w:lineRule="auto"/>
      </w:pPr>
      <w:r>
        <w:separator/>
      </w:r>
    </w:p>
  </w:footnote>
  <w:footnote w:type="continuationSeparator" w:id="0">
    <w:p w:rsidR="009C75DE" w:rsidRDefault="009C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9C75D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26D8D">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9C75D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w:instrText>
        </w:r>
        <w:r w:rsidRPr="00582D4C">
          <w:rPr>
            <w:rFonts w:ascii="Times New Roman" w:hAnsi="Times New Roman" w:cs="Times New Roman"/>
            <w:sz w:val="24"/>
            <w:szCs w:val="24"/>
          </w:rPr>
          <w:instrText xml:space="preserve">MAT </w:instrText>
        </w:r>
        <w:r w:rsidRPr="00582D4C">
          <w:rPr>
            <w:rFonts w:ascii="Times New Roman" w:hAnsi="Times New Roman" w:cs="Times New Roman"/>
            <w:sz w:val="24"/>
            <w:szCs w:val="24"/>
          </w:rPr>
          <w:fldChar w:fldCharType="separate"/>
        </w:r>
        <w:r w:rsidR="00926D8D">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E1"/>
    <w:multiLevelType w:val="hybridMultilevel"/>
    <w:tmpl w:val="175EC6DC"/>
    <w:lvl w:ilvl="0" w:tplc="536E0D2A">
      <w:start w:val="1"/>
      <w:numFmt w:val="bullet"/>
      <w:lvlText w:val=""/>
      <w:lvlJc w:val="left"/>
      <w:pPr>
        <w:ind w:left="720" w:hanging="360"/>
      </w:pPr>
      <w:rPr>
        <w:rFonts w:ascii="Wingdings" w:hAnsi="Wingdings" w:hint="default"/>
      </w:rPr>
    </w:lvl>
    <w:lvl w:ilvl="1" w:tplc="8452E026" w:tentative="1">
      <w:start w:val="1"/>
      <w:numFmt w:val="bullet"/>
      <w:lvlText w:val="o"/>
      <w:lvlJc w:val="left"/>
      <w:pPr>
        <w:ind w:left="1440" w:hanging="360"/>
      </w:pPr>
      <w:rPr>
        <w:rFonts w:ascii="Courier New" w:hAnsi="Courier New" w:cs="Courier New" w:hint="default"/>
      </w:rPr>
    </w:lvl>
    <w:lvl w:ilvl="2" w:tplc="B598039E" w:tentative="1">
      <w:start w:val="1"/>
      <w:numFmt w:val="bullet"/>
      <w:lvlText w:val=""/>
      <w:lvlJc w:val="left"/>
      <w:pPr>
        <w:ind w:left="2160" w:hanging="360"/>
      </w:pPr>
      <w:rPr>
        <w:rFonts w:ascii="Wingdings" w:hAnsi="Wingdings" w:hint="default"/>
      </w:rPr>
    </w:lvl>
    <w:lvl w:ilvl="3" w:tplc="00A4E812" w:tentative="1">
      <w:start w:val="1"/>
      <w:numFmt w:val="bullet"/>
      <w:lvlText w:val=""/>
      <w:lvlJc w:val="left"/>
      <w:pPr>
        <w:ind w:left="2880" w:hanging="360"/>
      </w:pPr>
      <w:rPr>
        <w:rFonts w:ascii="Symbol" w:hAnsi="Symbol" w:hint="default"/>
      </w:rPr>
    </w:lvl>
    <w:lvl w:ilvl="4" w:tplc="9DB6EEDE" w:tentative="1">
      <w:start w:val="1"/>
      <w:numFmt w:val="bullet"/>
      <w:lvlText w:val="o"/>
      <w:lvlJc w:val="left"/>
      <w:pPr>
        <w:ind w:left="3600" w:hanging="360"/>
      </w:pPr>
      <w:rPr>
        <w:rFonts w:ascii="Courier New" w:hAnsi="Courier New" w:cs="Courier New" w:hint="default"/>
      </w:rPr>
    </w:lvl>
    <w:lvl w:ilvl="5" w:tplc="82B8383A" w:tentative="1">
      <w:start w:val="1"/>
      <w:numFmt w:val="bullet"/>
      <w:lvlText w:val=""/>
      <w:lvlJc w:val="left"/>
      <w:pPr>
        <w:ind w:left="4320" w:hanging="360"/>
      </w:pPr>
      <w:rPr>
        <w:rFonts w:ascii="Wingdings" w:hAnsi="Wingdings" w:hint="default"/>
      </w:rPr>
    </w:lvl>
    <w:lvl w:ilvl="6" w:tplc="68DAED5A" w:tentative="1">
      <w:start w:val="1"/>
      <w:numFmt w:val="bullet"/>
      <w:lvlText w:val=""/>
      <w:lvlJc w:val="left"/>
      <w:pPr>
        <w:ind w:left="5040" w:hanging="360"/>
      </w:pPr>
      <w:rPr>
        <w:rFonts w:ascii="Symbol" w:hAnsi="Symbol" w:hint="default"/>
      </w:rPr>
    </w:lvl>
    <w:lvl w:ilvl="7" w:tplc="1A3022BE" w:tentative="1">
      <w:start w:val="1"/>
      <w:numFmt w:val="bullet"/>
      <w:lvlText w:val="o"/>
      <w:lvlJc w:val="left"/>
      <w:pPr>
        <w:ind w:left="5760" w:hanging="360"/>
      </w:pPr>
      <w:rPr>
        <w:rFonts w:ascii="Courier New" w:hAnsi="Courier New" w:cs="Courier New" w:hint="default"/>
      </w:rPr>
    </w:lvl>
    <w:lvl w:ilvl="8" w:tplc="18C81B4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315AD3D2">
      <w:start w:val="1"/>
      <w:numFmt w:val="lowerRoman"/>
      <w:lvlText w:val="%1."/>
      <w:lvlJc w:val="right"/>
      <w:pPr>
        <w:ind w:left="720" w:hanging="360"/>
      </w:pPr>
    </w:lvl>
    <w:lvl w:ilvl="1" w:tplc="A46E932C" w:tentative="1">
      <w:start w:val="1"/>
      <w:numFmt w:val="lowerLetter"/>
      <w:lvlText w:val="%2."/>
      <w:lvlJc w:val="left"/>
      <w:pPr>
        <w:ind w:left="1440" w:hanging="360"/>
      </w:pPr>
    </w:lvl>
    <w:lvl w:ilvl="2" w:tplc="76F4CF7E" w:tentative="1">
      <w:start w:val="1"/>
      <w:numFmt w:val="lowerRoman"/>
      <w:lvlText w:val="%3."/>
      <w:lvlJc w:val="right"/>
      <w:pPr>
        <w:ind w:left="2160" w:hanging="180"/>
      </w:pPr>
    </w:lvl>
    <w:lvl w:ilvl="3" w:tplc="B7026052" w:tentative="1">
      <w:start w:val="1"/>
      <w:numFmt w:val="decimal"/>
      <w:lvlText w:val="%4."/>
      <w:lvlJc w:val="left"/>
      <w:pPr>
        <w:ind w:left="2880" w:hanging="360"/>
      </w:pPr>
    </w:lvl>
    <w:lvl w:ilvl="4" w:tplc="C164B2E4" w:tentative="1">
      <w:start w:val="1"/>
      <w:numFmt w:val="lowerLetter"/>
      <w:lvlText w:val="%5."/>
      <w:lvlJc w:val="left"/>
      <w:pPr>
        <w:ind w:left="3600" w:hanging="360"/>
      </w:pPr>
    </w:lvl>
    <w:lvl w:ilvl="5" w:tplc="5DB0C6F6" w:tentative="1">
      <w:start w:val="1"/>
      <w:numFmt w:val="lowerRoman"/>
      <w:lvlText w:val="%6."/>
      <w:lvlJc w:val="right"/>
      <w:pPr>
        <w:ind w:left="4320" w:hanging="180"/>
      </w:pPr>
    </w:lvl>
    <w:lvl w:ilvl="6" w:tplc="827AE064" w:tentative="1">
      <w:start w:val="1"/>
      <w:numFmt w:val="decimal"/>
      <w:lvlText w:val="%7."/>
      <w:lvlJc w:val="left"/>
      <w:pPr>
        <w:ind w:left="5040" w:hanging="360"/>
      </w:pPr>
    </w:lvl>
    <w:lvl w:ilvl="7" w:tplc="DD745304" w:tentative="1">
      <w:start w:val="1"/>
      <w:numFmt w:val="lowerLetter"/>
      <w:lvlText w:val="%8."/>
      <w:lvlJc w:val="left"/>
      <w:pPr>
        <w:ind w:left="5760" w:hanging="360"/>
      </w:pPr>
    </w:lvl>
    <w:lvl w:ilvl="8" w:tplc="2BE8AC08"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0997"/>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B57BE"/>
    <w:rsid w:val="000D5E97"/>
    <w:rsid w:val="000E2686"/>
    <w:rsid w:val="000E36C4"/>
    <w:rsid w:val="000E4CD5"/>
    <w:rsid w:val="000E5AA5"/>
    <w:rsid w:val="000F0C7E"/>
    <w:rsid w:val="000F3FEF"/>
    <w:rsid w:val="00101327"/>
    <w:rsid w:val="00105EB1"/>
    <w:rsid w:val="00116B05"/>
    <w:rsid w:val="00117782"/>
    <w:rsid w:val="001354A0"/>
    <w:rsid w:val="001418F7"/>
    <w:rsid w:val="00141E30"/>
    <w:rsid w:val="00146589"/>
    <w:rsid w:val="00163941"/>
    <w:rsid w:val="0016524D"/>
    <w:rsid w:val="00165DD8"/>
    <w:rsid w:val="0017531A"/>
    <w:rsid w:val="00181D0F"/>
    <w:rsid w:val="001822BB"/>
    <w:rsid w:val="00183CC6"/>
    <w:rsid w:val="001862BF"/>
    <w:rsid w:val="001A0E54"/>
    <w:rsid w:val="001B0C91"/>
    <w:rsid w:val="001B171B"/>
    <w:rsid w:val="001B7815"/>
    <w:rsid w:val="001C344A"/>
    <w:rsid w:val="001C4E7B"/>
    <w:rsid w:val="001D0818"/>
    <w:rsid w:val="001D1EF8"/>
    <w:rsid w:val="001D291B"/>
    <w:rsid w:val="001E14BC"/>
    <w:rsid w:val="001E1F96"/>
    <w:rsid w:val="001F2E49"/>
    <w:rsid w:val="001F35D6"/>
    <w:rsid w:val="001F4091"/>
    <w:rsid w:val="001F6F5B"/>
    <w:rsid w:val="002025BE"/>
    <w:rsid w:val="0020583F"/>
    <w:rsid w:val="00207DE8"/>
    <w:rsid w:val="00210E32"/>
    <w:rsid w:val="00213897"/>
    <w:rsid w:val="00225E97"/>
    <w:rsid w:val="00237987"/>
    <w:rsid w:val="002405DB"/>
    <w:rsid w:val="00243F1A"/>
    <w:rsid w:val="002456FD"/>
    <w:rsid w:val="00246835"/>
    <w:rsid w:val="00250DC8"/>
    <w:rsid w:val="00263036"/>
    <w:rsid w:val="0027081A"/>
    <w:rsid w:val="0027646A"/>
    <w:rsid w:val="00291606"/>
    <w:rsid w:val="00294AC5"/>
    <w:rsid w:val="002A1258"/>
    <w:rsid w:val="002A265E"/>
    <w:rsid w:val="002B295D"/>
    <w:rsid w:val="002B72FB"/>
    <w:rsid w:val="002C2CC6"/>
    <w:rsid w:val="002C7D28"/>
    <w:rsid w:val="002D037A"/>
    <w:rsid w:val="002D3C6C"/>
    <w:rsid w:val="002D42D3"/>
    <w:rsid w:val="002D7FA8"/>
    <w:rsid w:val="002E0FC6"/>
    <w:rsid w:val="002F073E"/>
    <w:rsid w:val="002F2B7C"/>
    <w:rsid w:val="002F5AE2"/>
    <w:rsid w:val="0030220A"/>
    <w:rsid w:val="00303254"/>
    <w:rsid w:val="00306428"/>
    <w:rsid w:val="00316B7A"/>
    <w:rsid w:val="003210B4"/>
    <w:rsid w:val="003230DF"/>
    <w:rsid w:val="00334C06"/>
    <w:rsid w:val="003438CD"/>
    <w:rsid w:val="00345595"/>
    <w:rsid w:val="00345A2B"/>
    <w:rsid w:val="0034778E"/>
    <w:rsid w:val="00351562"/>
    <w:rsid w:val="00353CC9"/>
    <w:rsid w:val="003565AA"/>
    <w:rsid w:val="00356CA9"/>
    <w:rsid w:val="00357AA9"/>
    <w:rsid w:val="00362133"/>
    <w:rsid w:val="003642EE"/>
    <w:rsid w:val="003653A6"/>
    <w:rsid w:val="00366E88"/>
    <w:rsid w:val="00371A81"/>
    <w:rsid w:val="00380670"/>
    <w:rsid w:val="00392F35"/>
    <w:rsid w:val="003A2BD3"/>
    <w:rsid w:val="003A45A4"/>
    <w:rsid w:val="003A4DB5"/>
    <w:rsid w:val="003B03B4"/>
    <w:rsid w:val="003B750A"/>
    <w:rsid w:val="003C3EA2"/>
    <w:rsid w:val="003E07E5"/>
    <w:rsid w:val="003E446B"/>
    <w:rsid w:val="003F695E"/>
    <w:rsid w:val="00400B2E"/>
    <w:rsid w:val="0040126F"/>
    <w:rsid w:val="0042401E"/>
    <w:rsid w:val="004248B3"/>
    <w:rsid w:val="00426D5E"/>
    <w:rsid w:val="00437056"/>
    <w:rsid w:val="004427A3"/>
    <w:rsid w:val="004431E2"/>
    <w:rsid w:val="00444921"/>
    <w:rsid w:val="0045119E"/>
    <w:rsid w:val="0045217E"/>
    <w:rsid w:val="004647ED"/>
    <w:rsid w:val="0046584E"/>
    <w:rsid w:val="004826E0"/>
    <w:rsid w:val="004854B4"/>
    <w:rsid w:val="00490AB7"/>
    <w:rsid w:val="004A0B82"/>
    <w:rsid w:val="004A1DBA"/>
    <w:rsid w:val="004B4E15"/>
    <w:rsid w:val="004B66B9"/>
    <w:rsid w:val="004C2A4B"/>
    <w:rsid w:val="004C53F3"/>
    <w:rsid w:val="004D0ADA"/>
    <w:rsid w:val="004D35FF"/>
    <w:rsid w:val="004E1FDA"/>
    <w:rsid w:val="004E2296"/>
    <w:rsid w:val="004E2DDB"/>
    <w:rsid w:val="004E41A6"/>
    <w:rsid w:val="004F234D"/>
    <w:rsid w:val="004F2380"/>
    <w:rsid w:val="005046E6"/>
    <w:rsid w:val="00505B47"/>
    <w:rsid w:val="005201B5"/>
    <w:rsid w:val="00522741"/>
    <w:rsid w:val="00527BCF"/>
    <w:rsid w:val="005318DA"/>
    <w:rsid w:val="0054062B"/>
    <w:rsid w:val="0054740B"/>
    <w:rsid w:val="005524B4"/>
    <w:rsid w:val="0056710B"/>
    <w:rsid w:val="00573977"/>
    <w:rsid w:val="00573DF1"/>
    <w:rsid w:val="00577099"/>
    <w:rsid w:val="00582D4C"/>
    <w:rsid w:val="00595DE6"/>
    <w:rsid w:val="005A0398"/>
    <w:rsid w:val="005A0FB8"/>
    <w:rsid w:val="005A209D"/>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6629"/>
    <w:rsid w:val="00626EA3"/>
    <w:rsid w:val="00627FFE"/>
    <w:rsid w:val="006337FA"/>
    <w:rsid w:val="00633BEA"/>
    <w:rsid w:val="00637B7D"/>
    <w:rsid w:val="00641D94"/>
    <w:rsid w:val="00644AC1"/>
    <w:rsid w:val="006459EC"/>
    <w:rsid w:val="00645DB8"/>
    <w:rsid w:val="006549A8"/>
    <w:rsid w:val="00664105"/>
    <w:rsid w:val="00671A15"/>
    <w:rsid w:val="00672718"/>
    <w:rsid w:val="00673A21"/>
    <w:rsid w:val="0068256F"/>
    <w:rsid w:val="00687984"/>
    <w:rsid w:val="00694826"/>
    <w:rsid w:val="00694A31"/>
    <w:rsid w:val="006A2965"/>
    <w:rsid w:val="006B1399"/>
    <w:rsid w:val="006C2000"/>
    <w:rsid w:val="006E1634"/>
    <w:rsid w:val="006E17A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7168F"/>
    <w:rsid w:val="00775EEC"/>
    <w:rsid w:val="00777F1C"/>
    <w:rsid w:val="007830CA"/>
    <w:rsid w:val="00797EF7"/>
    <w:rsid w:val="007A1A1B"/>
    <w:rsid w:val="007C365C"/>
    <w:rsid w:val="007C4BD7"/>
    <w:rsid w:val="007D1278"/>
    <w:rsid w:val="007D5E7B"/>
    <w:rsid w:val="007D67BB"/>
    <w:rsid w:val="007D75F1"/>
    <w:rsid w:val="007E2953"/>
    <w:rsid w:val="007E4F3A"/>
    <w:rsid w:val="007E6551"/>
    <w:rsid w:val="007F1054"/>
    <w:rsid w:val="007F1451"/>
    <w:rsid w:val="007F242B"/>
    <w:rsid w:val="007F49E6"/>
    <w:rsid w:val="00804FFC"/>
    <w:rsid w:val="00806FC9"/>
    <w:rsid w:val="00807B21"/>
    <w:rsid w:val="00812B9C"/>
    <w:rsid w:val="00820972"/>
    <w:rsid w:val="00825321"/>
    <w:rsid w:val="0084432B"/>
    <w:rsid w:val="0084521F"/>
    <w:rsid w:val="00845997"/>
    <w:rsid w:val="00845E30"/>
    <w:rsid w:val="00853CFA"/>
    <w:rsid w:val="0087045D"/>
    <w:rsid w:val="00870DB0"/>
    <w:rsid w:val="00877B2D"/>
    <w:rsid w:val="00884AA9"/>
    <w:rsid w:val="00890EEB"/>
    <w:rsid w:val="008970F0"/>
    <w:rsid w:val="008B0F7F"/>
    <w:rsid w:val="008C7AB0"/>
    <w:rsid w:val="008C7D69"/>
    <w:rsid w:val="008D2F10"/>
    <w:rsid w:val="008D5A73"/>
    <w:rsid w:val="008D622E"/>
    <w:rsid w:val="008E0303"/>
    <w:rsid w:val="008E285D"/>
    <w:rsid w:val="008F08B1"/>
    <w:rsid w:val="008F4C7C"/>
    <w:rsid w:val="008F5037"/>
    <w:rsid w:val="008F50A3"/>
    <w:rsid w:val="008F6D1A"/>
    <w:rsid w:val="00904DC9"/>
    <w:rsid w:val="00913F6B"/>
    <w:rsid w:val="00920B44"/>
    <w:rsid w:val="00925EB4"/>
    <w:rsid w:val="00926D8D"/>
    <w:rsid w:val="00927B0B"/>
    <w:rsid w:val="009350B6"/>
    <w:rsid w:val="00935B0E"/>
    <w:rsid w:val="00936360"/>
    <w:rsid w:val="00946DD0"/>
    <w:rsid w:val="0094728A"/>
    <w:rsid w:val="00947F2B"/>
    <w:rsid w:val="00953FB0"/>
    <w:rsid w:val="00964F14"/>
    <w:rsid w:val="00983138"/>
    <w:rsid w:val="009A2307"/>
    <w:rsid w:val="009A3F28"/>
    <w:rsid w:val="009A40E4"/>
    <w:rsid w:val="009A49FE"/>
    <w:rsid w:val="009A771D"/>
    <w:rsid w:val="009C6C39"/>
    <w:rsid w:val="009C75DE"/>
    <w:rsid w:val="009C78F6"/>
    <w:rsid w:val="009D4AE6"/>
    <w:rsid w:val="009D651D"/>
    <w:rsid w:val="009E7334"/>
    <w:rsid w:val="009F10B9"/>
    <w:rsid w:val="009F51DC"/>
    <w:rsid w:val="00A048D8"/>
    <w:rsid w:val="00A13007"/>
    <w:rsid w:val="00A22BB6"/>
    <w:rsid w:val="00A24A6F"/>
    <w:rsid w:val="00A273A4"/>
    <w:rsid w:val="00A31E7B"/>
    <w:rsid w:val="00A322AD"/>
    <w:rsid w:val="00A331EE"/>
    <w:rsid w:val="00A350E9"/>
    <w:rsid w:val="00A476CD"/>
    <w:rsid w:val="00A55774"/>
    <w:rsid w:val="00A57AFC"/>
    <w:rsid w:val="00A61464"/>
    <w:rsid w:val="00A62AB2"/>
    <w:rsid w:val="00A70A43"/>
    <w:rsid w:val="00A710FA"/>
    <w:rsid w:val="00A80B6D"/>
    <w:rsid w:val="00A94782"/>
    <w:rsid w:val="00A9532F"/>
    <w:rsid w:val="00A97DCF"/>
    <w:rsid w:val="00AA14FE"/>
    <w:rsid w:val="00AA6162"/>
    <w:rsid w:val="00AB14B0"/>
    <w:rsid w:val="00AB3E12"/>
    <w:rsid w:val="00AB5A88"/>
    <w:rsid w:val="00AB7D47"/>
    <w:rsid w:val="00AB7DE3"/>
    <w:rsid w:val="00AC1DF0"/>
    <w:rsid w:val="00AE0CCA"/>
    <w:rsid w:val="00AE2F76"/>
    <w:rsid w:val="00AE40CF"/>
    <w:rsid w:val="00AE6432"/>
    <w:rsid w:val="00AF58BA"/>
    <w:rsid w:val="00AF6540"/>
    <w:rsid w:val="00B0228D"/>
    <w:rsid w:val="00B02D83"/>
    <w:rsid w:val="00B07A2F"/>
    <w:rsid w:val="00B13AB0"/>
    <w:rsid w:val="00B3793D"/>
    <w:rsid w:val="00B419FF"/>
    <w:rsid w:val="00B44675"/>
    <w:rsid w:val="00B567F6"/>
    <w:rsid w:val="00B74573"/>
    <w:rsid w:val="00B7461C"/>
    <w:rsid w:val="00B746B0"/>
    <w:rsid w:val="00B76694"/>
    <w:rsid w:val="00B85066"/>
    <w:rsid w:val="00B860CC"/>
    <w:rsid w:val="00B863DE"/>
    <w:rsid w:val="00B939DE"/>
    <w:rsid w:val="00B94774"/>
    <w:rsid w:val="00B95915"/>
    <w:rsid w:val="00B968F0"/>
    <w:rsid w:val="00BA12D3"/>
    <w:rsid w:val="00BA6A48"/>
    <w:rsid w:val="00BA7808"/>
    <w:rsid w:val="00BB245D"/>
    <w:rsid w:val="00BB4F98"/>
    <w:rsid w:val="00BD3C1C"/>
    <w:rsid w:val="00BD54FC"/>
    <w:rsid w:val="00BD5D0A"/>
    <w:rsid w:val="00BE4A76"/>
    <w:rsid w:val="00BE5890"/>
    <w:rsid w:val="00C212AC"/>
    <w:rsid w:val="00C22295"/>
    <w:rsid w:val="00C26818"/>
    <w:rsid w:val="00C31420"/>
    <w:rsid w:val="00C32F44"/>
    <w:rsid w:val="00C3673B"/>
    <w:rsid w:val="00C40A50"/>
    <w:rsid w:val="00C60D7D"/>
    <w:rsid w:val="00C62CA6"/>
    <w:rsid w:val="00C62EA9"/>
    <w:rsid w:val="00C658C4"/>
    <w:rsid w:val="00C66E56"/>
    <w:rsid w:val="00C75089"/>
    <w:rsid w:val="00C75FA3"/>
    <w:rsid w:val="00C76AE2"/>
    <w:rsid w:val="00C81D72"/>
    <w:rsid w:val="00C83E32"/>
    <w:rsid w:val="00C85B30"/>
    <w:rsid w:val="00CA0969"/>
    <w:rsid w:val="00CA3724"/>
    <w:rsid w:val="00CA51E6"/>
    <w:rsid w:val="00CA6380"/>
    <w:rsid w:val="00CB7D88"/>
    <w:rsid w:val="00CC025F"/>
    <w:rsid w:val="00CC25C7"/>
    <w:rsid w:val="00CC7CB7"/>
    <w:rsid w:val="00CD24A1"/>
    <w:rsid w:val="00CD2AB0"/>
    <w:rsid w:val="00CD2BAB"/>
    <w:rsid w:val="00CD6D66"/>
    <w:rsid w:val="00CD76A8"/>
    <w:rsid w:val="00CE3305"/>
    <w:rsid w:val="00CF41BA"/>
    <w:rsid w:val="00D00244"/>
    <w:rsid w:val="00D01B47"/>
    <w:rsid w:val="00D02A50"/>
    <w:rsid w:val="00D04979"/>
    <w:rsid w:val="00D12BEF"/>
    <w:rsid w:val="00D12FD0"/>
    <w:rsid w:val="00D16F77"/>
    <w:rsid w:val="00D2097C"/>
    <w:rsid w:val="00D20D49"/>
    <w:rsid w:val="00D23FD0"/>
    <w:rsid w:val="00D255D6"/>
    <w:rsid w:val="00D42F84"/>
    <w:rsid w:val="00D442EA"/>
    <w:rsid w:val="00D46609"/>
    <w:rsid w:val="00D50BBB"/>
    <w:rsid w:val="00D53857"/>
    <w:rsid w:val="00D551C4"/>
    <w:rsid w:val="00D63623"/>
    <w:rsid w:val="00D64ECB"/>
    <w:rsid w:val="00D70351"/>
    <w:rsid w:val="00D75FA7"/>
    <w:rsid w:val="00D8147F"/>
    <w:rsid w:val="00D9049E"/>
    <w:rsid w:val="00D92036"/>
    <w:rsid w:val="00D926C8"/>
    <w:rsid w:val="00D9628B"/>
    <w:rsid w:val="00DA2CBC"/>
    <w:rsid w:val="00DA363C"/>
    <w:rsid w:val="00DA380D"/>
    <w:rsid w:val="00DA783E"/>
    <w:rsid w:val="00DB656B"/>
    <w:rsid w:val="00DC15AF"/>
    <w:rsid w:val="00DC2F8A"/>
    <w:rsid w:val="00DC6919"/>
    <w:rsid w:val="00DC6B17"/>
    <w:rsid w:val="00DE0A07"/>
    <w:rsid w:val="00DE1D94"/>
    <w:rsid w:val="00DF76E4"/>
    <w:rsid w:val="00E4326E"/>
    <w:rsid w:val="00E51AF8"/>
    <w:rsid w:val="00E5202C"/>
    <w:rsid w:val="00E54C92"/>
    <w:rsid w:val="00E6138B"/>
    <w:rsid w:val="00E61DB9"/>
    <w:rsid w:val="00E64422"/>
    <w:rsid w:val="00E75BCC"/>
    <w:rsid w:val="00E876C2"/>
    <w:rsid w:val="00E92CEF"/>
    <w:rsid w:val="00E95A00"/>
    <w:rsid w:val="00E95B7A"/>
    <w:rsid w:val="00EB2504"/>
    <w:rsid w:val="00EB423B"/>
    <w:rsid w:val="00EF0176"/>
    <w:rsid w:val="00EF21C5"/>
    <w:rsid w:val="00EF3BA9"/>
    <w:rsid w:val="00EF6258"/>
    <w:rsid w:val="00EF6423"/>
    <w:rsid w:val="00EF6D5B"/>
    <w:rsid w:val="00F01C67"/>
    <w:rsid w:val="00F06A82"/>
    <w:rsid w:val="00F20BB9"/>
    <w:rsid w:val="00F23423"/>
    <w:rsid w:val="00F234D1"/>
    <w:rsid w:val="00F240CD"/>
    <w:rsid w:val="00F26DD2"/>
    <w:rsid w:val="00F442D6"/>
    <w:rsid w:val="00F44F67"/>
    <w:rsid w:val="00F46B5C"/>
    <w:rsid w:val="00F55506"/>
    <w:rsid w:val="00F62E08"/>
    <w:rsid w:val="00F70F9E"/>
    <w:rsid w:val="00F72980"/>
    <w:rsid w:val="00F752A5"/>
    <w:rsid w:val="00F774F9"/>
    <w:rsid w:val="00F832D6"/>
    <w:rsid w:val="00F864A9"/>
    <w:rsid w:val="00F949C0"/>
    <w:rsid w:val="00FA1DBF"/>
    <w:rsid w:val="00FA78ED"/>
    <w:rsid w:val="00FB2D58"/>
    <w:rsid w:val="00FC0223"/>
    <w:rsid w:val="00FC4FD3"/>
    <w:rsid w:val="00FC5623"/>
    <w:rsid w:val="00FD097C"/>
    <w:rsid w:val="00FD3AAF"/>
    <w:rsid w:val="00FD419F"/>
    <w:rsid w:val="00FE408F"/>
    <w:rsid w:val="00FF0B4C"/>
    <w:rsid w:val="00FF5E95"/>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2021-06-10T15:05:00Z</dcterms:created>
  <dcterms:modified xsi:type="dcterms:W3CDTF">2021-06-10T15:05:00Z</dcterms:modified>
</cp:coreProperties>
</file>